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C8D5" w14:textId="650364BA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821B24">
        <w:rPr>
          <w:rFonts w:cs="Arial"/>
        </w:rPr>
        <w:t>25bis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2F5E07">
        <w:rPr>
          <w:rFonts w:cs="Arial"/>
        </w:rPr>
        <w:t>4</w:t>
      </w:r>
      <w:r w:rsidR="00E37F81">
        <w:rPr>
          <w:rFonts w:cs="Arial"/>
        </w:rPr>
        <w:t>03648</w:t>
      </w:r>
    </w:p>
    <w:p w14:paraId="298061C1" w14:textId="185ABA84" w:rsidR="005857F6" w:rsidRPr="00863065" w:rsidRDefault="00821B24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/>
          <w:lang w:val="en-US"/>
        </w:rPr>
        <w:t>Changsha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China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15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/>
          <w:lang w:val="en-US"/>
        </w:rPr>
        <w:t>19</w:t>
      </w:r>
      <w:r w:rsidR="00BC02CB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February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 w:rsidR="00AB19FA">
        <w:rPr>
          <w:rFonts w:cs="Arial"/>
          <w:lang w:val="en-US"/>
        </w:rPr>
        <w:t>4</w:t>
      </w:r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17C821A2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AB19FA">
        <w:rPr>
          <w:rFonts w:cs="Arial"/>
          <w:b/>
          <w:sz w:val="24"/>
        </w:rPr>
        <w:t xml:space="preserve">Discussion on </w:t>
      </w:r>
      <w:r w:rsidR="006A240F" w:rsidRPr="006A240F">
        <w:rPr>
          <w:rFonts w:cs="Arial"/>
          <w:b/>
          <w:sz w:val="24"/>
        </w:rPr>
        <w:t>Intended Service Area for NTN-MBS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4C8D6D8E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FB1276">
        <w:rPr>
          <w:rFonts w:cs="Arial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F866B7">
        <w:rPr>
          <w:rFonts w:cs="Arial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F866B7">
        <w:rPr>
          <w:rFonts w:cs="Arial"/>
          <w:b/>
          <w:sz w:val="24"/>
        </w:rPr>
        <w:t>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093CCA9C" w14:textId="7710639B" w:rsidR="00BA25FB" w:rsidRDefault="00BA25FB" w:rsidP="00BA25FB">
      <w:pPr>
        <w:rPr>
          <w:szCs w:val="22"/>
        </w:rPr>
      </w:pPr>
      <w:r>
        <w:rPr>
          <w:szCs w:val="22"/>
        </w:rPr>
        <w:t>RAN2 is expected to start discussion on broadcast Rel-19 NTN at this meeting.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5FB" w14:paraId="1436A0B6" w14:textId="77777777" w:rsidTr="00BA25FB">
        <w:tc>
          <w:tcPr>
            <w:tcW w:w="9629" w:type="dxa"/>
          </w:tcPr>
          <w:p w14:paraId="0DAD2085" w14:textId="1C76B2D6" w:rsidR="00BA25FB" w:rsidRDefault="00BA25FB" w:rsidP="007E2FC8">
            <w:pPr>
              <w:rPr>
                <w:szCs w:val="22"/>
              </w:rPr>
            </w:pPr>
            <w:r w:rsidRPr="00BA25FB">
              <w:rPr>
                <w:rFonts w:hint="eastAsia"/>
                <w:szCs w:val="22"/>
                <w:u w:val="single"/>
              </w:rPr>
              <w:t>W</w:t>
            </w:r>
            <w:r w:rsidRPr="00BA25FB">
              <w:rPr>
                <w:szCs w:val="22"/>
                <w:u w:val="single"/>
              </w:rPr>
              <w:t>ID Objective</w:t>
            </w:r>
            <w:r>
              <w:rPr>
                <w:szCs w:val="22"/>
              </w:rPr>
              <w:t xml:space="preserve"> </w:t>
            </w:r>
            <w:r w:rsidR="002F45E0">
              <w:rPr>
                <w:szCs w:val="22"/>
              </w:rPr>
              <w:t>[1]</w:t>
            </w:r>
          </w:p>
          <w:p w14:paraId="3716EA90" w14:textId="77777777" w:rsidR="00BA25FB" w:rsidRPr="00BA25FB" w:rsidRDefault="00BA25FB" w:rsidP="00BA25FB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BA25FB">
              <w:rPr>
                <w:rFonts w:ascii="Times New Roman" w:eastAsia="Malgun Gothic" w:hAnsi="Times New Roman" w:cs="Times New Roman"/>
                <w:sz w:val="20"/>
                <w:lang w:eastAsia="ko-KR"/>
              </w:rPr>
              <w:t>Specify signaling of the intended service area of a broadcast service (e.g. MBS broadcast) via NR NTN [RAN2, RAN3]</w:t>
            </w:r>
          </w:p>
          <w:p w14:paraId="053156E8" w14:textId="77777777" w:rsidR="00BA25FB" w:rsidRPr="00BA25FB" w:rsidRDefault="00BA25FB" w:rsidP="00BA25FB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lang w:eastAsia="zh-CN"/>
              </w:rPr>
            </w:pPr>
            <w:r w:rsidRPr="00BA25FB">
              <w:rPr>
                <w:rFonts w:ascii="Times New Roman" w:eastAsia="Calibri" w:hAnsi="Times New Roman" w:cs="Times New Roman"/>
                <w:sz w:val="20"/>
                <w:lang w:eastAsia="zh-CN"/>
              </w:rPr>
              <w:t>Specify SIB signaling to indicate the intended service area in case the satellite footprint covers a larger area. [RAN2]</w:t>
            </w:r>
          </w:p>
          <w:p w14:paraId="0370AA01" w14:textId="684CA676" w:rsidR="00BA25FB" w:rsidRDefault="00BA25FB" w:rsidP="00BA25FB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szCs w:val="22"/>
              </w:rPr>
            </w:pPr>
            <w:r w:rsidRPr="00BA25FB">
              <w:rPr>
                <w:rFonts w:ascii="Times New Roman" w:eastAsia="Calibri" w:hAnsi="Times New Roman" w:cs="Times New Roman"/>
                <w:sz w:val="20"/>
                <w:lang w:eastAsia="zh-CN"/>
              </w:rPr>
              <w:t>Specify the necessary signaling between CN and NG-RAN. [RAN3]</w:t>
            </w:r>
          </w:p>
        </w:tc>
      </w:tr>
    </w:tbl>
    <w:p w14:paraId="495F1569" w14:textId="29E71766" w:rsidR="00BA25FB" w:rsidRDefault="009E62A2" w:rsidP="007E2FC8">
      <w:pPr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>his contribution is to provide our view on what should be clarified first.</w:t>
      </w:r>
    </w:p>
    <w:p w14:paraId="2B7F375C" w14:textId="77777777" w:rsidR="00BA25FB" w:rsidRPr="00262F8E" w:rsidRDefault="00BA25FB" w:rsidP="007E2FC8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2E4B6B05" w:rsidR="007E2FC8" w:rsidRDefault="009E62A2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W</w:t>
      </w:r>
      <w:r>
        <w:rPr>
          <w:rFonts w:cs="Arial"/>
        </w:rPr>
        <w:t>hat is “intended service area?”</w:t>
      </w:r>
    </w:p>
    <w:p w14:paraId="01F2FEF2" w14:textId="6A09F3CE" w:rsidR="007E2FC8" w:rsidRDefault="009E62A2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I</w:t>
      </w:r>
      <w:r>
        <w:rPr>
          <w:bCs/>
          <w:szCs w:val="22"/>
        </w:rPr>
        <w:t xml:space="preserve">n Objective </w:t>
      </w:r>
      <w:r w:rsidR="002F45E0">
        <w:rPr>
          <w:bCs/>
          <w:szCs w:val="22"/>
        </w:rPr>
        <w:t>[1]</w:t>
      </w:r>
      <w:r>
        <w:rPr>
          <w:bCs/>
          <w:szCs w:val="22"/>
        </w:rPr>
        <w:t>, it is advised to discuss and specify SIB signalling to indicate the intended service area of a broadcast service, which is assumed to be smaller than NTN-cell coverage and in the NTN-cell.</w:t>
      </w:r>
    </w:p>
    <w:p w14:paraId="2E59A247" w14:textId="1D368B4D" w:rsidR="009E62A2" w:rsidRDefault="009E62A2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B</w:t>
      </w:r>
      <w:r>
        <w:rPr>
          <w:bCs/>
          <w:szCs w:val="22"/>
        </w:rPr>
        <w:t xml:space="preserve">ack to Rel-17 NR-NTN, </w:t>
      </w:r>
      <w:r w:rsidR="00334D61">
        <w:rPr>
          <w:bCs/>
          <w:szCs w:val="22"/>
        </w:rPr>
        <w:t>RAN2</w:t>
      </w:r>
      <w:r>
        <w:rPr>
          <w:bCs/>
          <w:szCs w:val="22"/>
        </w:rPr>
        <w:t xml:space="preserve"> introduced a parameter </w:t>
      </w:r>
      <w:r w:rsidRPr="00723C5A">
        <w:rPr>
          <w:bCs/>
          <w:i/>
          <w:iCs/>
          <w:szCs w:val="22"/>
        </w:rPr>
        <w:t>trackingArea</w:t>
      </w:r>
      <w:r w:rsidR="007523CE">
        <w:rPr>
          <w:bCs/>
          <w:i/>
          <w:iCs/>
          <w:szCs w:val="22"/>
        </w:rPr>
        <w:t>List</w:t>
      </w:r>
      <w:r w:rsidRPr="00723C5A">
        <w:rPr>
          <w:bCs/>
          <w:i/>
          <w:iCs/>
          <w:szCs w:val="22"/>
        </w:rPr>
        <w:t>-r17</w:t>
      </w:r>
      <w:r>
        <w:rPr>
          <w:bCs/>
          <w:szCs w:val="22"/>
        </w:rPr>
        <w:t xml:space="preserve"> in </w:t>
      </w:r>
      <w:r w:rsidR="004435E2" w:rsidRPr="004435E2">
        <w:rPr>
          <w:bCs/>
          <w:i/>
          <w:iCs/>
          <w:szCs w:val="22"/>
        </w:rPr>
        <w:t>PLMN-IdentityInfoList</w:t>
      </w:r>
      <w:r w:rsidR="004435E2">
        <w:rPr>
          <w:bCs/>
          <w:i/>
          <w:iCs/>
          <w:szCs w:val="22"/>
        </w:rPr>
        <w:t xml:space="preserve"> </w:t>
      </w:r>
      <w:r w:rsidR="004435E2">
        <w:rPr>
          <w:bCs/>
          <w:szCs w:val="22"/>
        </w:rPr>
        <w:t>which is broadcast in SIB1. This indication provides UEs a list of tracking areas</w:t>
      </w:r>
      <w:r w:rsidR="00C73C9D">
        <w:rPr>
          <w:bCs/>
          <w:szCs w:val="22"/>
        </w:rPr>
        <w:t xml:space="preserve"> based on TN cells</w:t>
      </w:r>
      <w:r w:rsidR="004435E2">
        <w:rPr>
          <w:bCs/>
          <w:szCs w:val="22"/>
        </w:rPr>
        <w:t xml:space="preserve"> to belong to instead of a certain tracking area</w:t>
      </w:r>
      <w:r w:rsidR="00C73C9D">
        <w:rPr>
          <w:bCs/>
          <w:szCs w:val="22"/>
        </w:rPr>
        <w:t>. We understand the purpose of tracking area list is to break a large NTN-cell into multiple segments to avoid transmit paging message to all UEs in a whole NTN-cell coverage area.</w:t>
      </w:r>
    </w:p>
    <w:p w14:paraId="351AF3B6" w14:textId="548A9273" w:rsidR="00C73C9D" w:rsidRDefault="00C73C9D" w:rsidP="00C73C9D">
      <w:pPr>
        <w:pStyle w:val="ObservationandProposal"/>
      </w:pPr>
      <w:r w:rsidRPr="00C73C9D">
        <w:t xml:space="preserve">Observation </w:t>
      </w:r>
      <w:r w:rsidR="002F45E0">
        <w:t>1</w:t>
      </w:r>
      <w:r w:rsidRPr="00C73C9D">
        <w:t>.</w:t>
      </w:r>
      <w:r>
        <w:tab/>
      </w:r>
      <w:r w:rsidRPr="00C73C9D">
        <w:t xml:space="preserve">In Rel-17 NTN, </w:t>
      </w:r>
      <w:r w:rsidRPr="00C73C9D">
        <w:rPr>
          <w:i/>
          <w:iCs/>
        </w:rPr>
        <w:t>trackingAreaList-r17</w:t>
      </w:r>
      <w:r w:rsidRPr="00C73C9D">
        <w:t xml:space="preserve"> was introduced, which is to break a large NTN cell to multiple segments based on tracking area i.e. TN cell area.</w:t>
      </w:r>
    </w:p>
    <w:p w14:paraId="78E4917C" w14:textId="0A3362ED" w:rsidR="00C73C9D" w:rsidRDefault="00C73C9D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T</w:t>
      </w:r>
      <w:r>
        <w:rPr>
          <w:bCs/>
          <w:szCs w:val="22"/>
        </w:rPr>
        <w:t>herefore, to evaluate feasibility of the concept for the legacy tracking area list for segmentation of NTN-cell in terms of broadcast service, at first, we would</w:t>
      </w:r>
      <w:r w:rsidRPr="00C73C9D">
        <w:t xml:space="preserve"> </w:t>
      </w:r>
      <w:r w:rsidRPr="00C73C9D">
        <w:rPr>
          <w:bCs/>
          <w:szCs w:val="22"/>
        </w:rPr>
        <w:t xml:space="preserve">like to clarify </w:t>
      </w:r>
      <w:r>
        <w:rPr>
          <w:bCs/>
          <w:szCs w:val="22"/>
        </w:rPr>
        <w:t>whether</w:t>
      </w:r>
      <w:r w:rsidRPr="00C73C9D">
        <w:rPr>
          <w:bCs/>
          <w:szCs w:val="22"/>
        </w:rPr>
        <w:t xml:space="preserve"> </w:t>
      </w:r>
      <w:r>
        <w:rPr>
          <w:bCs/>
          <w:szCs w:val="22"/>
        </w:rPr>
        <w:t xml:space="preserve">the “intended service area” can be based on TN coverage information, or that should be a </w:t>
      </w:r>
      <w:r w:rsidRPr="00C73C9D">
        <w:rPr>
          <w:bCs/>
          <w:szCs w:val="22"/>
        </w:rPr>
        <w:t>geographical area independent of TN</w:t>
      </w:r>
      <w:r>
        <w:rPr>
          <w:bCs/>
          <w:szCs w:val="22"/>
        </w:rPr>
        <w:t>-</w:t>
      </w:r>
      <w:r w:rsidRPr="00C73C9D">
        <w:rPr>
          <w:bCs/>
          <w:szCs w:val="22"/>
        </w:rPr>
        <w:t>cells/tracking areas</w:t>
      </w:r>
      <w:r>
        <w:rPr>
          <w:bCs/>
          <w:szCs w:val="22"/>
        </w:rPr>
        <w:t>.</w:t>
      </w:r>
    </w:p>
    <w:p w14:paraId="6FB4D745" w14:textId="4E845AB0" w:rsidR="00C73C9D" w:rsidRDefault="00C73C9D" w:rsidP="00C73C9D">
      <w:pPr>
        <w:pStyle w:val="ObservationandProposal"/>
      </w:pPr>
      <w:r w:rsidRPr="00C73C9D">
        <w:t xml:space="preserve">Proposal </w:t>
      </w:r>
      <w:r w:rsidR="002F45E0">
        <w:t>1</w:t>
      </w:r>
      <w:r w:rsidRPr="00C73C9D">
        <w:t>.</w:t>
      </w:r>
      <w:r>
        <w:tab/>
      </w:r>
      <w:r w:rsidRPr="00C73C9D">
        <w:t xml:space="preserve">Discuss and clarify the definition of "intended service area" especially whether it is independent of TN cell </w:t>
      </w:r>
      <w:r w:rsidR="00B6065C">
        <w:t>information</w:t>
      </w:r>
      <w:r w:rsidRPr="00C73C9D">
        <w:t>.</w:t>
      </w:r>
    </w:p>
    <w:p w14:paraId="00DA1715" w14:textId="77777777" w:rsidR="009E62A2" w:rsidRPr="0083168F" w:rsidRDefault="009E62A2" w:rsidP="007E2FC8">
      <w:pPr>
        <w:rPr>
          <w:bCs/>
          <w:szCs w:val="22"/>
        </w:rPr>
      </w:pPr>
    </w:p>
    <w:p w14:paraId="622B372B" w14:textId="04957209" w:rsidR="007E2FC8" w:rsidRPr="009E62A2" w:rsidRDefault="009E62A2" w:rsidP="007E2FC8">
      <w:pPr>
        <w:pStyle w:val="2"/>
        <w:numPr>
          <w:ilvl w:val="1"/>
          <w:numId w:val="2"/>
        </w:numPr>
        <w:rPr>
          <w:rFonts w:cs="Arial"/>
        </w:rPr>
      </w:pPr>
      <w:r w:rsidRPr="009E62A2">
        <w:rPr>
          <w:rFonts w:cs="Arial" w:hint="eastAsia"/>
        </w:rPr>
        <w:t>H</w:t>
      </w:r>
      <w:r w:rsidRPr="009E62A2">
        <w:rPr>
          <w:rFonts w:cs="Arial"/>
        </w:rPr>
        <w:t>ow to indicate “intended service area?”</w:t>
      </w:r>
    </w:p>
    <w:p w14:paraId="3C96AEC2" w14:textId="60B188F2" w:rsidR="0083168F" w:rsidRDefault="00754DF0" w:rsidP="007E2FC8">
      <w:pPr>
        <w:rPr>
          <w:szCs w:val="22"/>
        </w:rPr>
      </w:pPr>
      <w:r>
        <w:rPr>
          <w:szCs w:val="22"/>
        </w:rPr>
        <w:t xml:space="preserve">According to Objective </w:t>
      </w:r>
      <w:r w:rsidR="002F45E0">
        <w:rPr>
          <w:szCs w:val="22"/>
        </w:rPr>
        <w:t>[1]</w:t>
      </w:r>
      <w:r>
        <w:rPr>
          <w:szCs w:val="22"/>
        </w:rPr>
        <w:t>, the SIB signalling is used to indicate the intended service area of a broadcast service. This section is to discuss which SI to use. Candidate could be SIB1, SIB19 (which only NTN cells provide), and SIB20 (which only cells supporting MBS provide).</w:t>
      </w:r>
    </w:p>
    <w:p w14:paraId="52E656BE" w14:textId="0450E11E" w:rsidR="00B51AEA" w:rsidRDefault="00754DF0" w:rsidP="007E2FC8">
      <w:pPr>
        <w:rPr>
          <w:szCs w:val="22"/>
        </w:rPr>
      </w:pPr>
      <w:r>
        <w:rPr>
          <w:szCs w:val="22"/>
        </w:rPr>
        <w:lastRenderedPageBreak/>
        <w:t xml:space="preserve">We would like to here provide our understanding on the initiation of MBS. Basically the general configuration needed for reception of the broadcast is </w:t>
      </w:r>
      <w:r w:rsidR="00B51AEA">
        <w:rPr>
          <w:szCs w:val="22"/>
        </w:rPr>
        <w:t>informed via</w:t>
      </w:r>
      <w:r>
        <w:rPr>
          <w:szCs w:val="22"/>
        </w:rPr>
        <w:t xml:space="preserve"> </w:t>
      </w:r>
      <w:r w:rsidRPr="00B51AEA">
        <w:rPr>
          <w:i/>
          <w:iCs/>
          <w:szCs w:val="22"/>
        </w:rPr>
        <w:t>MBSBroadcastConfiguration</w:t>
      </w:r>
      <w:r w:rsidR="00B51AEA">
        <w:rPr>
          <w:szCs w:val="22"/>
        </w:rPr>
        <w:t xml:space="preserve"> which is provided via PCCH. To receive MCCH, the UE has to acquire SIB1 and SIB20. Now </w:t>
      </w:r>
      <w:r w:rsidR="00130F35">
        <w:rPr>
          <w:szCs w:val="22"/>
        </w:rPr>
        <w:t xml:space="preserve">the situation when the MBS-capable UEs receive the first MCCH could be described as below, according to 5.9 in TS 38.331 </w:t>
      </w:r>
      <w:r w:rsidR="002F45E0">
        <w:rPr>
          <w:szCs w:val="22"/>
        </w:rPr>
        <w:t>[2]</w:t>
      </w:r>
      <w:r w:rsidR="00B51AEA">
        <w:rPr>
          <w:szCs w:val="22"/>
        </w:rPr>
        <w:t>;</w:t>
      </w:r>
    </w:p>
    <w:p w14:paraId="607241CD" w14:textId="166B3147" w:rsidR="00B51AEA" w:rsidRDefault="00B51AEA" w:rsidP="007E2FC8">
      <w:pPr>
        <w:rPr>
          <w:szCs w:val="22"/>
        </w:rPr>
      </w:pPr>
      <w:r>
        <w:rPr>
          <w:rFonts w:hint="eastAsia"/>
          <w:szCs w:val="22"/>
        </w:rPr>
        <w:t>W</w:t>
      </w:r>
      <w:r>
        <w:rPr>
          <w:szCs w:val="22"/>
        </w:rPr>
        <w:t>hen MBS-capable UE</w:t>
      </w:r>
    </w:p>
    <w:p w14:paraId="280421AE" w14:textId="008EAFC8" w:rsidR="00B51AEA" w:rsidRDefault="00B51AEA" w:rsidP="00B51AEA">
      <w:pPr>
        <w:pStyle w:val="aa"/>
        <w:numPr>
          <w:ilvl w:val="0"/>
          <w:numId w:val="7"/>
        </w:numPr>
        <w:ind w:leftChars="0"/>
        <w:rPr>
          <w:szCs w:val="22"/>
        </w:rPr>
      </w:pPr>
      <w:r>
        <w:rPr>
          <w:rFonts w:hint="eastAsia"/>
          <w:szCs w:val="22"/>
        </w:rPr>
        <w:t>g</w:t>
      </w:r>
      <w:r>
        <w:rPr>
          <w:szCs w:val="22"/>
        </w:rPr>
        <w:t>ets interested in MBS service</w:t>
      </w:r>
      <w:r w:rsidRPr="00B51AEA">
        <w:rPr>
          <w:szCs w:val="22"/>
        </w:rPr>
        <w:t xml:space="preserve"> </w:t>
      </w:r>
      <w:r>
        <w:rPr>
          <w:szCs w:val="22"/>
        </w:rPr>
        <w:t>in a cell supporting MBS and providing SIB20; or</w:t>
      </w:r>
    </w:p>
    <w:p w14:paraId="3F982248" w14:textId="77777777" w:rsidR="00130F35" w:rsidRDefault="00130F35" w:rsidP="00130F35">
      <w:pPr>
        <w:pStyle w:val="aa"/>
        <w:numPr>
          <w:ilvl w:val="0"/>
          <w:numId w:val="7"/>
        </w:numPr>
        <w:ind w:leftChars="0"/>
        <w:rPr>
          <w:szCs w:val="22"/>
        </w:rPr>
      </w:pPr>
      <w:r>
        <w:rPr>
          <w:szCs w:val="22"/>
        </w:rPr>
        <w:t xml:space="preserve">is interested is MBS service and </w:t>
      </w:r>
      <w:r>
        <w:rPr>
          <w:rFonts w:hint="eastAsia"/>
          <w:szCs w:val="22"/>
        </w:rPr>
        <w:t>t</w:t>
      </w:r>
      <w:r>
        <w:rPr>
          <w:szCs w:val="22"/>
        </w:rPr>
        <w:t>urns on in a cell supporting MBS and providing SIB20; or</w:t>
      </w:r>
    </w:p>
    <w:p w14:paraId="0F137F75" w14:textId="2C0E28D5" w:rsidR="00B51AEA" w:rsidRPr="00B51AEA" w:rsidRDefault="00130F35" w:rsidP="00B51AEA">
      <w:pPr>
        <w:pStyle w:val="aa"/>
        <w:numPr>
          <w:ilvl w:val="0"/>
          <w:numId w:val="7"/>
        </w:numPr>
        <w:ind w:leftChars="0"/>
        <w:rPr>
          <w:szCs w:val="22"/>
        </w:rPr>
      </w:pPr>
      <w:r>
        <w:rPr>
          <w:szCs w:val="22"/>
        </w:rPr>
        <w:t>is interested is MBS service and</w:t>
      </w:r>
      <w:r>
        <w:rPr>
          <w:rFonts w:hint="eastAsia"/>
          <w:szCs w:val="22"/>
        </w:rPr>
        <w:t xml:space="preserve"> </w:t>
      </w:r>
      <w:r w:rsidR="00B51AEA">
        <w:rPr>
          <w:rFonts w:hint="eastAsia"/>
          <w:szCs w:val="22"/>
        </w:rPr>
        <w:t>e</w:t>
      </w:r>
      <w:r w:rsidR="00B51AEA">
        <w:rPr>
          <w:szCs w:val="22"/>
        </w:rPr>
        <w:t>nters a cell supporting MBS and providing SIB20,</w:t>
      </w:r>
    </w:p>
    <w:p w14:paraId="44E8F144" w14:textId="431811BE" w:rsidR="0083168F" w:rsidRDefault="00B51AEA" w:rsidP="007E2FC8">
      <w:pPr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>he UE acquires necessary information (SIB1, SIB20) to receive the next broadcast MCCH.</w:t>
      </w:r>
    </w:p>
    <w:p w14:paraId="4F73134C" w14:textId="77777777" w:rsidR="00A17944" w:rsidRDefault="00AC4063" w:rsidP="007E2FC8">
      <w:pPr>
        <w:rPr>
          <w:szCs w:val="22"/>
        </w:rPr>
      </w:pPr>
      <w:r>
        <w:rPr>
          <w:rFonts w:hint="eastAsia"/>
          <w:szCs w:val="22"/>
        </w:rPr>
        <w:t>N</w:t>
      </w:r>
      <w:r>
        <w:rPr>
          <w:szCs w:val="22"/>
        </w:rPr>
        <w:t>ow given that the broadcast service is only available in the intended service area, the problem is,</w:t>
      </w:r>
      <w:r w:rsidR="00A17944">
        <w:rPr>
          <w:szCs w:val="22"/>
        </w:rPr>
        <w:t xml:space="preserve"> it is possible that</w:t>
      </w:r>
      <w:r>
        <w:rPr>
          <w:szCs w:val="22"/>
        </w:rPr>
        <w:t xml:space="preserve"> all UEs in the NTN-cell even including those located out of the intend service area, will </w:t>
      </w:r>
      <w:r w:rsidR="00A17944">
        <w:rPr>
          <w:szCs w:val="22"/>
        </w:rPr>
        <w:t xml:space="preserve">trigger random access to </w:t>
      </w:r>
      <w:r>
        <w:rPr>
          <w:szCs w:val="22"/>
        </w:rPr>
        <w:t xml:space="preserve">require </w:t>
      </w:r>
      <w:r w:rsidR="00A17944">
        <w:rPr>
          <w:szCs w:val="22"/>
        </w:rPr>
        <w:t>SIB20. UEs out of MBS service area should have nothing to do with SIB20 unless they enter the area, thus that unnecessary SIB request should be avoided.</w:t>
      </w:r>
    </w:p>
    <w:p w14:paraId="63451A98" w14:textId="3F89EAC4" w:rsidR="002F45E0" w:rsidRDefault="002F45E0" w:rsidP="002F45E0">
      <w:pPr>
        <w:pStyle w:val="ObservationandProposal"/>
      </w:pPr>
      <w:r>
        <w:rPr>
          <w:rFonts w:hint="eastAsia"/>
        </w:rPr>
        <w:t>O</w:t>
      </w:r>
      <w:r>
        <w:t>bservation 2.</w:t>
      </w:r>
      <w:r>
        <w:tab/>
        <w:t>UEs in the NTN-cell and out of the intended service area would require SIB20 to the gNB, which is unnecessary and not useful for the UEs.</w:t>
      </w:r>
    </w:p>
    <w:p w14:paraId="680FD97D" w14:textId="0AADFA96" w:rsidR="00B51AEA" w:rsidRDefault="00A17944" w:rsidP="007E2FC8">
      <w:pPr>
        <w:rPr>
          <w:szCs w:val="22"/>
        </w:rPr>
      </w:pPr>
      <w:r>
        <w:rPr>
          <w:szCs w:val="22"/>
        </w:rPr>
        <w:t>Considering that UEs will require SIB20 based on information in SIB1, we think that the indication of intended service area for MBS should be in SIB1 unless any issue appears.</w:t>
      </w:r>
    </w:p>
    <w:p w14:paraId="46CA9999" w14:textId="5AC06300" w:rsidR="00A17944" w:rsidRDefault="00A17944" w:rsidP="00A17944">
      <w:pPr>
        <w:pStyle w:val="ObservationandProposal"/>
      </w:pPr>
      <w:r w:rsidRPr="00A17944">
        <w:t xml:space="preserve">Proposal </w:t>
      </w:r>
      <w:r w:rsidR="002F45E0">
        <w:t>2</w:t>
      </w:r>
      <w:r w:rsidRPr="00A17944">
        <w:t>.</w:t>
      </w:r>
      <w:r>
        <w:tab/>
      </w:r>
      <w:r w:rsidRPr="00A17944">
        <w:t>RAN2 assumes the "intended service area" information is indicated via SIB1.</w:t>
      </w:r>
    </w:p>
    <w:p w14:paraId="454B60A7" w14:textId="77777777" w:rsidR="00AC4063" w:rsidRPr="00262F8E" w:rsidRDefault="00AC4063" w:rsidP="007E2FC8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18365BDB" w14:textId="25C44639" w:rsidR="00133274" w:rsidRDefault="00133274" w:rsidP="00133274">
      <w:pPr>
        <w:pStyle w:val="ObservationandProposal"/>
      </w:pPr>
      <w:r w:rsidRPr="00C73C9D">
        <w:t xml:space="preserve">Observation </w:t>
      </w:r>
      <w:r w:rsidR="002F45E0">
        <w:t>1</w:t>
      </w:r>
      <w:r w:rsidRPr="00C73C9D">
        <w:t>.</w:t>
      </w:r>
      <w:r>
        <w:tab/>
      </w:r>
      <w:r w:rsidRPr="00C73C9D">
        <w:t xml:space="preserve">In Rel-17 NTN, </w:t>
      </w:r>
      <w:r w:rsidRPr="00C73C9D">
        <w:rPr>
          <w:i/>
          <w:iCs/>
        </w:rPr>
        <w:t>trackingAreaList-r17</w:t>
      </w:r>
      <w:r w:rsidRPr="00C73C9D">
        <w:t xml:space="preserve"> was introduced, which is to break a large NTN cell to multiple segments based on tracking area i.e. TN cell area.</w:t>
      </w:r>
    </w:p>
    <w:p w14:paraId="340D1E51" w14:textId="58C22CF7" w:rsidR="00133274" w:rsidRDefault="00133274" w:rsidP="00133274">
      <w:pPr>
        <w:pStyle w:val="ObservationandProposal"/>
      </w:pPr>
      <w:r w:rsidRPr="00C73C9D">
        <w:t xml:space="preserve">Proposal </w:t>
      </w:r>
      <w:r w:rsidR="002F45E0">
        <w:t>1</w:t>
      </w:r>
      <w:r w:rsidRPr="00C73C9D">
        <w:t>.</w:t>
      </w:r>
      <w:r>
        <w:tab/>
      </w:r>
      <w:r w:rsidRPr="00C73C9D">
        <w:t xml:space="preserve">Discuss and clarify the definition of "intended service area" especially whether it is independent of TN cell </w:t>
      </w:r>
      <w:r>
        <w:t>information</w:t>
      </w:r>
      <w:r w:rsidRPr="00C73C9D">
        <w:t>.</w:t>
      </w:r>
    </w:p>
    <w:p w14:paraId="2F226E30" w14:textId="77777777" w:rsidR="002F45E0" w:rsidRDefault="002F45E0" w:rsidP="002F45E0">
      <w:pPr>
        <w:pStyle w:val="ObservationandProposal"/>
      </w:pPr>
      <w:r>
        <w:rPr>
          <w:rFonts w:hint="eastAsia"/>
        </w:rPr>
        <w:t>O</w:t>
      </w:r>
      <w:r>
        <w:t>bservation 2.</w:t>
      </w:r>
      <w:r>
        <w:tab/>
        <w:t>UEs in the NTN-cell and out of the intended service area would require SIB20 to the gNB, which is unnecessary and not useful for the UEs.</w:t>
      </w:r>
    </w:p>
    <w:p w14:paraId="464F3119" w14:textId="1498A85A" w:rsidR="00133274" w:rsidRDefault="00133274" w:rsidP="00133274">
      <w:pPr>
        <w:pStyle w:val="ObservationandProposal"/>
      </w:pPr>
      <w:r w:rsidRPr="00A17944">
        <w:t xml:space="preserve">Proposal </w:t>
      </w:r>
      <w:r w:rsidR="002F45E0">
        <w:t>2</w:t>
      </w:r>
      <w:r w:rsidRPr="00A17944">
        <w:t>.</w:t>
      </w:r>
      <w:r>
        <w:tab/>
      </w:r>
      <w:r w:rsidRPr="00A17944">
        <w:t>RAN2 assumes the "intended service area" information is indicated via SIB1.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0409407B" w14:textId="0F911323" w:rsidR="007E2FC8" w:rsidRDefault="002F45E0" w:rsidP="00452602">
      <w:pPr>
        <w:pStyle w:val="Reference"/>
      </w:pPr>
      <w:r>
        <w:rPr>
          <w:rFonts w:hint="eastAsia"/>
        </w:rPr>
        <w:t>[1]</w:t>
      </w:r>
      <w:r w:rsidR="00452602">
        <w:tab/>
      </w:r>
      <w:r w:rsidR="00BA25FB">
        <w:t>RP-234978, “</w:t>
      </w:r>
      <w:r w:rsidR="00BA25FB" w:rsidRPr="00BA25FB">
        <w:t>New WID: Non-Terrestrial Networks (NTN) for NR Phase 3</w:t>
      </w:r>
      <w:r w:rsidR="00BA25FB">
        <w:t>,” RAN#102, Huawei.</w:t>
      </w:r>
    </w:p>
    <w:p w14:paraId="15C83CA1" w14:textId="6E1E26E3" w:rsidR="00130F35" w:rsidRPr="00262F8E" w:rsidRDefault="002F45E0" w:rsidP="00452602">
      <w:pPr>
        <w:pStyle w:val="Reference"/>
      </w:pPr>
      <w:r>
        <w:rPr>
          <w:rFonts w:hint="eastAsia"/>
        </w:rPr>
        <w:t>[2]</w:t>
      </w:r>
      <w:r w:rsidR="00130F35">
        <w:tab/>
        <w:t>TS 38.331, “</w:t>
      </w:r>
      <w:r w:rsidR="00130F35" w:rsidRPr="00130F35">
        <w:t>Radio Resource Control (RRC) protocol specificatio</w:t>
      </w:r>
      <w:r w:rsidR="00130F35">
        <w:rPr>
          <w:rFonts w:hint="eastAsia"/>
        </w:rPr>
        <w:t>n</w:t>
      </w:r>
      <w:r w:rsidR="00130F35">
        <w:t>,” V18.1.0.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E1458" w14:textId="77777777" w:rsidR="003631E2" w:rsidRDefault="003631E2" w:rsidP="007E2FC8">
      <w:pPr>
        <w:spacing w:after="0"/>
      </w:pPr>
      <w:r>
        <w:separator/>
      </w:r>
    </w:p>
    <w:p w14:paraId="27FF2B7E" w14:textId="77777777" w:rsidR="003631E2" w:rsidRDefault="003631E2"/>
    <w:p w14:paraId="03344B1B" w14:textId="77777777" w:rsidR="003631E2" w:rsidRDefault="003631E2" w:rsidP="00273403"/>
  </w:endnote>
  <w:endnote w:type="continuationSeparator" w:id="0">
    <w:p w14:paraId="0208FBC8" w14:textId="77777777" w:rsidR="003631E2" w:rsidRDefault="003631E2" w:rsidP="007E2FC8">
      <w:pPr>
        <w:spacing w:after="0"/>
      </w:pPr>
      <w:r>
        <w:continuationSeparator/>
      </w:r>
    </w:p>
    <w:p w14:paraId="2DAFE5B0" w14:textId="77777777" w:rsidR="003631E2" w:rsidRDefault="003631E2"/>
    <w:p w14:paraId="500B6ACE" w14:textId="77777777" w:rsidR="003631E2" w:rsidRDefault="003631E2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77777777" w:rsidR="00573D1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573D19" w:rsidRDefault="00573D19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573D1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869F7" w14:textId="77777777" w:rsidR="003631E2" w:rsidRDefault="003631E2" w:rsidP="007E2FC8">
      <w:pPr>
        <w:spacing w:after="0"/>
      </w:pPr>
      <w:r>
        <w:separator/>
      </w:r>
    </w:p>
    <w:p w14:paraId="3BD61FB8" w14:textId="77777777" w:rsidR="003631E2" w:rsidRDefault="003631E2"/>
    <w:p w14:paraId="208B9A68" w14:textId="77777777" w:rsidR="003631E2" w:rsidRDefault="003631E2" w:rsidP="00273403"/>
  </w:footnote>
  <w:footnote w:type="continuationSeparator" w:id="0">
    <w:p w14:paraId="2CA93754" w14:textId="77777777" w:rsidR="003631E2" w:rsidRDefault="003631E2" w:rsidP="007E2FC8">
      <w:pPr>
        <w:spacing w:after="0"/>
      </w:pPr>
      <w:r>
        <w:continuationSeparator/>
      </w:r>
    </w:p>
    <w:p w14:paraId="72BC686E" w14:textId="77777777" w:rsidR="003631E2" w:rsidRDefault="003631E2"/>
    <w:p w14:paraId="40FF38C6" w14:textId="77777777" w:rsidR="003631E2" w:rsidRDefault="003631E2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A2E94"/>
    <w:multiLevelType w:val="hybridMultilevel"/>
    <w:tmpl w:val="47F618E0"/>
    <w:lvl w:ilvl="0" w:tplc="079893A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739477F"/>
    <w:multiLevelType w:val="hybridMultilevel"/>
    <w:tmpl w:val="3D42558E"/>
    <w:lvl w:ilvl="0" w:tplc="2CE0F366">
      <w:start w:val="10"/>
      <w:numFmt w:val="bullet"/>
      <w:lvlText w:val="-"/>
      <w:lvlJc w:val="left"/>
      <w:pPr>
        <w:ind w:left="360" w:hanging="360"/>
      </w:pPr>
      <w:rPr>
        <w:rFonts w:ascii="Arial" w:eastAsia="BIZ UDP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66942341">
    <w:abstractNumId w:val="5"/>
  </w:num>
  <w:num w:numId="2" w16cid:durableId="1916432099">
    <w:abstractNumId w:val="3"/>
  </w:num>
  <w:num w:numId="3" w16cid:durableId="961111639">
    <w:abstractNumId w:val="4"/>
  </w:num>
  <w:num w:numId="4" w16cid:durableId="1246183031">
    <w:abstractNumId w:val="6"/>
  </w:num>
  <w:num w:numId="5" w16cid:durableId="228616602">
    <w:abstractNumId w:val="0"/>
  </w:num>
  <w:num w:numId="6" w16cid:durableId="2116364338">
    <w:abstractNumId w:val="1"/>
  </w:num>
  <w:num w:numId="7" w16cid:durableId="19016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722CC"/>
    <w:rsid w:val="000B6616"/>
    <w:rsid w:val="00130F35"/>
    <w:rsid w:val="00133274"/>
    <w:rsid w:val="001376E5"/>
    <w:rsid w:val="00262F8E"/>
    <w:rsid w:val="00273403"/>
    <w:rsid w:val="002B674A"/>
    <w:rsid w:val="002F1F0B"/>
    <w:rsid w:val="002F45E0"/>
    <w:rsid w:val="002F5E07"/>
    <w:rsid w:val="00334D61"/>
    <w:rsid w:val="003631E2"/>
    <w:rsid w:val="00385B37"/>
    <w:rsid w:val="003965B3"/>
    <w:rsid w:val="004435E2"/>
    <w:rsid w:val="00452602"/>
    <w:rsid w:val="004A3CEE"/>
    <w:rsid w:val="004D1B48"/>
    <w:rsid w:val="004E6B03"/>
    <w:rsid w:val="004F6390"/>
    <w:rsid w:val="00537958"/>
    <w:rsid w:val="00573D19"/>
    <w:rsid w:val="005839E2"/>
    <w:rsid w:val="005857F6"/>
    <w:rsid w:val="005F1EB4"/>
    <w:rsid w:val="005F73C8"/>
    <w:rsid w:val="006A240F"/>
    <w:rsid w:val="00723C5A"/>
    <w:rsid w:val="007523CE"/>
    <w:rsid w:val="00754DF0"/>
    <w:rsid w:val="007E2FC8"/>
    <w:rsid w:val="008020A3"/>
    <w:rsid w:val="00821B24"/>
    <w:rsid w:val="0083168F"/>
    <w:rsid w:val="00896DC7"/>
    <w:rsid w:val="008C2D47"/>
    <w:rsid w:val="008E5A66"/>
    <w:rsid w:val="0092515C"/>
    <w:rsid w:val="00933C9D"/>
    <w:rsid w:val="009E62A2"/>
    <w:rsid w:val="00A154A5"/>
    <w:rsid w:val="00A17944"/>
    <w:rsid w:val="00A266FE"/>
    <w:rsid w:val="00A32033"/>
    <w:rsid w:val="00AB19FA"/>
    <w:rsid w:val="00AB422A"/>
    <w:rsid w:val="00AC4063"/>
    <w:rsid w:val="00B329A1"/>
    <w:rsid w:val="00B51AEA"/>
    <w:rsid w:val="00B6065C"/>
    <w:rsid w:val="00BA25FB"/>
    <w:rsid w:val="00BC02CB"/>
    <w:rsid w:val="00C73C9D"/>
    <w:rsid w:val="00C97CFC"/>
    <w:rsid w:val="00CA6524"/>
    <w:rsid w:val="00D04FB8"/>
    <w:rsid w:val="00D8679B"/>
    <w:rsid w:val="00D94041"/>
    <w:rsid w:val="00DB76B3"/>
    <w:rsid w:val="00E2631E"/>
    <w:rsid w:val="00E37F81"/>
    <w:rsid w:val="00EB1AD1"/>
    <w:rsid w:val="00F560E5"/>
    <w:rsid w:val="00F866B7"/>
    <w:rsid w:val="00FB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basedOn w:val="a"/>
    <w:uiPriority w:val="34"/>
    <w:qFormat/>
    <w:rsid w:val="00BA25FB"/>
    <w:pPr>
      <w:ind w:leftChars="400" w:left="840"/>
    </w:pPr>
  </w:style>
  <w:style w:type="table" w:styleId="ab">
    <w:name w:val="Table Grid"/>
    <w:basedOn w:val="a1"/>
    <w:uiPriority w:val="39"/>
    <w:rsid w:val="00BA2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38</cp:revision>
  <dcterms:created xsi:type="dcterms:W3CDTF">2021-10-20T07:13:00Z</dcterms:created>
  <dcterms:modified xsi:type="dcterms:W3CDTF">2024-04-05T08:06:00Z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